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diagrams/data1.xml" ContentType="application/vnd.openxmlformats-officedocument.drawingml.diagramData+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496DF" w14:textId="7A718F0B" w:rsidR="00CA1F60" w:rsidRDefault="00CA1F60" w:rsidP="00D12B2B">
      <w:pPr>
        <w:jc w:val="center"/>
        <w:rPr>
          <w:rFonts w:ascii="Verdana" w:hAnsi="Verdana"/>
          <w:b/>
          <w:bCs/>
        </w:rPr>
      </w:pPr>
      <w:r>
        <w:rPr>
          <w:rFonts w:ascii="Verdana" w:hAnsi="Verdana"/>
          <w:b/>
          <w:bCs/>
          <w:noProof/>
        </w:rPr>
        <w:drawing>
          <wp:anchor distT="0" distB="0" distL="114300" distR="114300" simplePos="0" relativeHeight="251658240" behindDoc="0" locked="0" layoutInCell="1" allowOverlap="1" wp14:anchorId="1C01033B" wp14:editId="75FFA989">
            <wp:simplePos x="0" y="0"/>
            <wp:positionH relativeFrom="column">
              <wp:posOffset>215900</wp:posOffset>
            </wp:positionH>
            <wp:positionV relativeFrom="paragraph">
              <wp:posOffset>-443865</wp:posOffset>
            </wp:positionV>
            <wp:extent cx="1447800" cy="965200"/>
            <wp:effectExtent l="0" t="0" r="0" b="6350"/>
            <wp:wrapNone/>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47800" cy="965200"/>
                    </a:xfrm>
                    <a:prstGeom prst="rect">
                      <a:avLst/>
                    </a:prstGeom>
                  </pic:spPr>
                </pic:pic>
              </a:graphicData>
            </a:graphic>
            <wp14:sizeRelH relativeFrom="margin">
              <wp14:pctWidth>0</wp14:pctWidth>
            </wp14:sizeRelH>
            <wp14:sizeRelV relativeFrom="margin">
              <wp14:pctHeight>0</wp14:pctHeight>
            </wp14:sizeRelV>
          </wp:anchor>
        </w:drawing>
      </w:r>
    </w:p>
    <w:p w14:paraId="5A6360E6" w14:textId="77777777" w:rsidR="00CA1F60" w:rsidRDefault="00CA1F60" w:rsidP="00176A60">
      <w:pPr>
        <w:rPr>
          <w:rFonts w:ascii="Verdana" w:hAnsi="Verdana"/>
          <w:b/>
          <w:bCs/>
        </w:rPr>
      </w:pPr>
    </w:p>
    <w:p w14:paraId="067A5D92" w14:textId="24D6AACE" w:rsidR="00D12B2B" w:rsidRPr="00EE37CE" w:rsidRDefault="00D12B2B" w:rsidP="00D12B2B">
      <w:pPr>
        <w:jc w:val="center"/>
        <w:rPr>
          <w:rFonts w:ascii="Verdana" w:hAnsi="Verdana"/>
          <w:b/>
          <w:bCs/>
        </w:rPr>
      </w:pPr>
      <w:r w:rsidRPr="00EE37CE">
        <w:rPr>
          <w:rFonts w:ascii="Verdana" w:hAnsi="Verdana"/>
          <w:b/>
          <w:bCs/>
        </w:rPr>
        <w:t>PFA DEII Customizable Diversity Audit Tool</w:t>
      </w:r>
    </w:p>
    <w:p w14:paraId="15274C06" w14:textId="70B1CB22" w:rsidR="00D12B2B" w:rsidRPr="00D12B2B" w:rsidRDefault="00D12B2B" w:rsidP="00D12B2B">
      <w:pPr>
        <w:jc w:val="center"/>
        <w:rPr>
          <w:rFonts w:ascii="Verdana" w:hAnsi="Verdana"/>
        </w:rPr>
      </w:pPr>
      <w:r w:rsidRPr="00D12B2B">
        <w:rPr>
          <w:rFonts w:ascii="Verdana" w:hAnsi="Verdana"/>
        </w:rPr>
        <w:t>September 2021</w:t>
      </w:r>
    </w:p>
    <w:p w14:paraId="6FCADD05" w14:textId="548E0AD1" w:rsidR="00D12B2B" w:rsidRPr="00D12B2B" w:rsidRDefault="00D12B2B" w:rsidP="00D12B2B">
      <w:pPr>
        <w:jc w:val="center"/>
        <w:rPr>
          <w:rFonts w:ascii="Verdana" w:hAnsi="Verdana"/>
        </w:rPr>
      </w:pPr>
    </w:p>
    <w:p w14:paraId="6841D375" w14:textId="63E5BACB" w:rsidR="00D12B2B" w:rsidRPr="00D12B2B" w:rsidRDefault="00D12B2B" w:rsidP="00D12B2B">
      <w:pPr>
        <w:rPr>
          <w:rFonts w:ascii="Verdana" w:hAnsi="Verdana"/>
        </w:rPr>
      </w:pPr>
      <w:r w:rsidRPr="00D12B2B">
        <w:rPr>
          <w:rFonts w:ascii="Verdana" w:hAnsi="Verdana"/>
        </w:rPr>
        <w:t>This tool is designed to capture an organization’s current state regarding diversity, equity and inclusion. It is composite tool – based upon sound practices used in other settings. However, this PFA Diversity Audit is customized to members’ unique environment. It covers four fundamental areas, as stated below</w:t>
      </w:r>
      <w:r w:rsidR="00EE37CE">
        <w:rPr>
          <w:rFonts w:ascii="Verdana" w:hAnsi="Verdana"/>
        </w:rPr>
        <w:t>.</w:t>
      </w:r>
    </w:p>
    <w:p w14:paraId="111DAEA7" w14:textId="545FCFA4" w:rsidR="00D12B2B" w:rsidRDefault="00D12B2B" w:rsidP="00D12B2B">
      <w:r>
        <w:rPr>
          <w:noProof/>
        </w:rPr>
        <w:drawing>
          <wp:inline distT="0" distB="0" distL="0" distR="0" wp14:anchorId="7AADB94A" wp14:editId="11D0CBBB">
            <wp:extent cx="2425930" cy="1553671"/>
            <wp:effectExtent l="0" t="0" r="0" b="8890"/>
            <wp:docPr id="1" name="Diagram 1">
              <a:extLst xmlns:a="http://schemas.openxmlformats.org/drawingml/2006/main">
                <a:ext uri="{FF2B5EF4-FFF2-40B4-BE49-F238E27FC236}">
                  <a16:creationId xmlns:a16="http://schemas.microsoft.com/office/drawing/2014/main" id="{8192DE36-5561-47D4-8713-02C99770C816}"/>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7F242540" w14:textId="493348C0" w:rsidR="00D12B2B" w:rsidRDefault="00D12B2B" w:rsidP="00D12B2B">
      <w:pPr>
        <w:rPr>
          <w:rFonts w:ascii="Verdana" w:hAnsi="Verdana"/>
        </w:rPr>
      </w:pPr>
      <w:r w:rsidRPr="00D12B2B">
        <w:rPr>
          <w:rFonts w:ascii="Verdana" w:hAnsi="Verdana"/>
        </w:rPr>
        <w:t xml:space="preserve">It is designed to be </w:t>
      </w:r>
      <w:r>
        <w:rPr>
          <w:rFonts w:ascii="Verdana" w:hAnsi="Verdana"/>
        </w:rPr>
        <w:t>with PFA’s range of organizational structures, such that it can be used for an individual chapter, a region, or an entire member organization. Additionally, you will note that</w:t>
      </w:r>
      <w:r w:rsidR="00EE37CE">
        <w:rPr>
          <w:rFonts w:ascii="Verdana" w:hAnsi="Verdana"/>
        </w:rPr>
        <w:t xml:space="preserve"> -</w:t>
      </w:r>
      <w:r>
        <w:rPr>
          <w:rFonts w:ascii="Verdana" w:hAnsi="Verdana"/>
        </w:rPr>
        <w:t xml:space="preserve"> unlike some other similar tools</w:t>
      </w:r>
      <w:r w:rsidR="00EE37CE">
        <w:rPr>
          <w:rFonts w:ascii="Verdana" w:hAnsi="Verdana"/>
        </w:rPr>
        <w:t xml:space="preserve"> -</w:t>
      </w:r>
      <w:r>
        <w:rPr>
          <w:rFonts w:ascii="Verdana" w:hAnsi="Verdana"/>
        </w:rPr>
        <w:t xml:space="preserve"> this one does not produce a “score”.  Instead, it is based on the approach that the results are indicative of a point in time, and that </w:t>
      </w:r>
      <w:r w:rsidR="00EE37CE">
        <w:rPr>
          <w:rFonts w:ascii="Verdana" w:hAnsi="Verdana"/>
        </w:rPr>
        <w:t xml:space="preserve">its </w:t>
      </w:r>
      <w:r>
        <w:rPr>
          <w:rFonts w:ascii="Verdana" w:hAnsi="Verdana"/>
        </w:rPr>
        <w:t>value is driven by the insights, programs</w:t>
      </w:r>
      <w:r w:rsidR="00EE37CE">
        <w:rPr>
          <w:rFonts w:ascii="Verdana" w:hAnsi="Verdana"/>
        </w:rPr>
        <w:t>,</w:t>
      </w:r>
      <w:r>
        <w:rPr>
          <w:rFonts w:ascii="Verdana" w:hAnsi="Verdana"/>
        </w:rPr>
        <w:t xml:space="preserve"> goals</w:t>
      </w:r>
      <w:r w:rsidR="00EE37CE">
        <w:rPr>
          <w:rFonts w:ascii="Verdana" w:hAnsi="Verdana"/>
        </w:rPr>
        <w:t xml:space="preserve"> and progress over time, </w:t>
      </w:r>
      <w:r>
        <w:rPr>
          <w:rFonts w:ascii="Verdana" w:hAnsi="Verdana"/>
        </w:rPr>
        <w:t xml:space="preserve">not from a </w:t>
      </w:r>
      <w:r w:rsidR="00EE37CE">
        <w:rPr>
          <w:rFonts w:ascii="Verdana" w:hAnsi="Verdana"/>
        </w:rPr>
        <w:t>numeric</w:t>
      </w:r>
      <w:r>
        <w:rPr>
          <w:rFonts w:ascii="Verdana" w:hAnsi="Verdana"/>
        </w:rPr>
        <w:t xml:space="preserve"> ranking.</w:t>
      </w:r>
      <w:r w:rsidR="00EE37CE">
        <w:rPr>
          <w:rFonts w:ascii="Verdana" w:hAnsi="Verdana"/>
        </w:rPr>
        <w:t xml:space="preserve"> Every organization, and subgroups within that organization, will be unique and will evolve over time. </w:t>
      </w:r>
    </w:p>
    <w:p w14:paraId="0E3EF78D" w14:textId="119DEC82" w:rsidR="00EE37CE" w:rsidRDefault="00EE37CE" w:rsidP="00D12B2B">
      <w:pPr>
        <w:rPr>
          <w:rFonts w:ascii="Verdana" w:hAnsi="Verdana"/>
        </w:rPr>
      </w:pPr>
      <w:r>
        <w:rPr>
          <w:rFonts w:ascii="Verdana" w:hAnsi="Verdana"/>
        </w:rPr>
        <w:t xml:space="preserve">Correctly done, a useful and high-impact diversity audit </w:t>
      </w:r>
      <w:r w:rsidRPr="00EE37CE">
        <w:rPr>
          <w:rFonts w:ascii="Verdana" w:hAnsi="Verdana"/>
          <w:i/>
          <w:iCs/>
          <w:u w:val="single"/>
        </w:rPr>
        <w:t>triggers other workstreams</w:t>
      </w:r>
      <w:r>
        <w:rPr>
          <w:rFonts w:ascii="Verdana" w:hAnsi="Verdana"/>
        </w:rPr>
        <w:t>.  These include:</w:t>
      </w:r>
    </w:p>
    <w:p w14:paraId="41E64156" w14:textId="16EEFDF9" w:rsidR="00EE37CE" w:rsidRDefault="00EE37CE" w:rsidP="00EE37CE">
      <w:pPr>
        <w:pStyle w:val="ListParagraph"/>
        <w:numPr>
          <w:ilvl w:val="0"/>
          <w:numId w:val="1"/>
        </w:numPr>
        <w:rPr>
          <w:rFonts w:ascii="Verdana" w:hAnsi="Verdana"/>
        </w:rPr>
      </w:pPr>
      <w:r w:rsidRPr="00260417">
        <w:rPr>
          <w:rFonts w:ascii="Verdana" w:hAnsi="Verdana"/>
          <w:b/>
          <w:bCs/>
        </w:rPr>
        <w:t>Data</w:t>
      </w:r>
      <w:r w:rsidRPr="00EE37CE">
        <w:rPr>
          <w:rFonts w:ascii="Verdana" w:hAnsi="Verdana"/>
        </w:rPr>
        <w:t xml:space="preserve"> </w:t>
      </w:r>
      <w:r>
        <w:rPr>
          <w:rFonts w:ascii="Verdana" w:hAnsi="Verdana"/>
        </w:rPr>
        <w:t>g</w:t>
      </w:r>
      <w:r w:rsidRPr="00EE37CE">
        <w:rPr>
          <w:rFonts w:ascii="Verdana" w:hAnsi="Verdana"/>
        </w:rPr>
        <w:t xml:space="preserve">athering </w:t>
      </w:r>
      <w:r w:rsidR="00260417">
        <w:rPr>
          <w:rFonts w:ascii="Verdana" w:hAnsi="Verdana"/>
        </w:rPr>
        <w:t xml:space="preserve">and evaluation </w:t>
      </w:r>
      <w:r>
        <w:rPr>
          <w:rFonts w:ascii="Verdana" w:hAnsi="Verdana"/>
        </w:rPr>
        <w:t>a</w:t>
      </w:r>
      <w:r w:rsidRPr="00EE37CE">
        <w:rPr>
          <w:rFonts w:ascii="Verdana" w:hAnsi="Verdana"/>
        </w:rPr>
        <w:t>ctivities</w:t>
      </w:r>
      <w:r>
        <w:rPr>
          <w:rFonts w:ascii="Verdana" w:hAnsi="Verdana"/>
        </w:rPr>
        <w:t xml:space="preserve"> including capturing </w:t>
      </w:r>
      <w:r w:rsidR="00260417">
        <w:rPr>
          <w:rFonts w:ascii="Verdana" w:hAnsi="Verdana"/>
        </w:rPr>
        <w:t>statistics</w:t>
      </w:r>
      <w:r>
        <w:rPr>
          <w:rFonts w:ascii="Verdana" w:hAnsi="Verdana"/>
        </w:rPr>
        <w:t xml:space="preserve">, performing </w:t>
      </w:r>
      <w:r w:rsidRPr="00260417">
        <w:rPr>
          <w:rFonts w:ascii="Verdana" w:hAnsi="Verdana"/>
          <w:b/>
          <w:bCs/>
        </w:rPr>
        <w:t xml:space="preserve">survey </w:t>
      </w:r>
      <w:r>
        <w:rPr>
          <w:rFonts w:ascii="Verdana" w:hAnsi="Verdana"/>
        </w:rPr>
        <w:t>activities</w:t>
      </w:r>
    </w:p>
    <w:p w14:paraId="7279123F" w14:textId="4BC0D602" w:rsidR="00EE37CE" w:rsidRDefault="00EE37CE" w:rsidP="00EE37CE">
      <w:pPr>
        <w:pStyle w:val="ListParagraph"/>
        <w:numPr>
          <w:ilvl w:val="0"/>
          <w:numId w:val="1"/>
        </w:numPr>
        <w:rPr>
          <w:rFonts w:ascii="Verdana" w:hAnsi="Verdana"/>
        </w:rPr>
      </w:pPr>
      <w:r>
        <w:rPr>
          <w:rFonts w:ascii="Verdana" w:hAnsi="Verdana"/>
        </w:rPr>
        <w:t>Setting short</w:t>
      </w:r>
      <w:r w:rsidR="00260417">
        <w:rPr>
          <w:rFonts w:ascii="Verdana" w:hAnsi="Verdana"/>
        </w:rPr>
        <w:t xml:space="preserve">-term </w:t>
      </w:r>
      <w:r w:rsidR="00260417" w:rsidRPr="00260417">
        <w:rPr>
          <w:rFonts w:ascii="Verdana" w:hAnsi="Verdana"/>
          <w:b/>
          <w:bCs/>
        </w:rPr>
        <w:t>targets</w:t>
      </w:r>
      <w:r w:rsidR="00260417">
        <w:rPr>
          <w:rFonts w:ascii="Verdana" w:hAnsi="Verdana"/>
        </w:rPr>
        <w:t xml:space="preserve"> and </w:t>
      </w:r>
      <w:r>
        <w:rPr>
          <w:rFonts w:ascii="Verdana" w:hAnsi="Verdana"/>
        </w:rPr>
        <w:t xml:space="preserve">long-term </w:t>
      </w:r>
      <w:r w:rsidRPr="00260417">
        <w:rPr>
          <w:rFonts w:ascii="Verdana" w:hAnsi="Verdana"/>
          <w:b/>
          <w:bCs/>
        </w:rPr>
        <w:t>goals</w:t>
      </w:r>
    </w:p>
    <w:p w14:paraId="05829130" w14:textId="0E726A1A" w:rsidR="00EE37CE" w:rsidRDefault="00EE37CE" w:rsidP="00EE37CE">
      <w:pPr>
        <w:pStyle w:val="ListParagraph"/>
        <w:numPr>
          <w:ilvl w:val="0"/>
          <w:numId w:val="1"/>
        </w:numPr>
        <w:rPr>
          <w:rFonts w:ascii="Verdana" w:hAnsi="Verdana"/>
        </w:rPr>
      </w:pPr>
      <w:r>
        <w:rPr>
          <w:rFonts w:ascii="Verdana" w:hAnsi="Verdana"/>
        </w:rPr>
        <w:t xml:space="preserve">Determining program </w:t>
      </w:r>
      <w:r w:rsidRPr="00260417">
        <w:rPr>
          <w:rFonts w:ascii="Verdana" w:hAnsi="Verdana"/>
          <w:b/>
          <w:bCs/>
        </w:rPr>
        <w:t>focus areas</w:t>
      </w:r>
    </w:p>
    <w:p w14:paraId="565D1513" w14:textId="7286EB99" w:rsidR="00EE37CE" w:rsidRDefault="00EE37CE" w:rsidP="00EE37CE">
      <w:pPr>
        <w:pStyle w:val="ListParagraph"/>
        <w:numPr>
          <w:ilvl w:val="0"/>
          <w:numId w:val="1"/>
        </w:numPr>
        <w:rPr>
          <w:rFonts w:ascii="Verdana" w:hAnsi="Verdana"/>
        </w:rPr>
      </w:pPr>
      <w:r>
        <w:rPr>
          <w:rFonts w:ascii="Verdana" w:hAnsi="Verdana"/>
        </w:rPr>
        <w:t xml:space="preserve">Advising and </w:t>
      </w:r>
      <w:r w:rsidRPr="005305BF">
        <w:rPr>
          <w:rFonts w:ascii="Verdana" w:hAnsi="Verdana"/>
          <w:b/>
          <w:bCs/>
        </w:rPr>
        <w:t>collaborating with board members</w:t>
      </w:r>
      <w:r>
        <w:rPr>
          <w:rFonts w:ascii="Verdana" w:hAnsi="Verdana"/>
        </w:rPr>
        <w:t xml:space="preserve"> and organization executives</w:t>
      </w:r>
    </w:p>
    <w:p w14:paraId="3D094B83" w14:textId="4434DA34" w:rsidR="00EE37CE" w:rsidRDefault="006F4FCC" w:rsidP="00EE37CE">
      <w:pPr>
        <w:pStyle w:val="ListParagraph"/>
        <w:numPr>
          <w:ilvl w:val="0"/>
          <w:numId w:val="1"/>
        </w:numPr>
        <w:rPr>
          <w:rFonts w:ascii="Verdana" w:hAnsi="Verdana"/>
        </w:rPr>
      </w:pPr>
      <w:r>
        <w:rPr>
          <w:rFonts w:ascii="Verdana" w:hAnsi="Verdana"/>
        </w:rPr>
        <w:t xml:space="preserve">Driving </w:t>
      </w:r>
      <w:r w:rsidRPr="005305BF">
        <w:rPr>
          <w:rFonts w:ascii="Verdana" w:hAnsi="Verdana"/>
          <w:b/>
          <w:bCs/>
        </w:rPr>
        <w:t>i</w:t>
      </w:r>
      <w:r w:rsidR="00EE37CE" w:rsidRPr="005305BF">
        <w:rPr>
          <w:rFonts w:ascii="Verdana" w:hAnsi="Verdana"/>
          <w:b/>
          <w:bCs/>
        </w:rPr>
        <w:t>nsights</w:t>
      </w:r>
      <w:r w:rsidR="00EE37CE">
        <w:rPr>
          <w:rFonts w:ascii="Verdana" w:hAnsi="Verdana"/>
        </w:rPr>
        <w:t xml:space="preserve"> for communicating with various stakeholders, such as students</w:t>
      </w:r>
    </w:p>
    <w:p w14:paraId="70C37543" w14:textId="765399C8" w:rsidR="00EE37CE" w:rsidRDefault="006F4FCC" w:rsidP="00EE37CE">
      <w:pPr>
        <w:pStyle w:val="ListParagraph"/>
        <w:numPr>
          <w:ilvl w:val="0"/>
          <w:numId w:val="1"/>
        </w:numPr>
        <w:rPr>
          <w:rFonts w:ascii="Verdana" w:hAnsi="Verdana"/>
        </w:rPr>
      </w:pPr>
      <w:r>
        <w:rPr>
          <w:rFonts w:ascii="Verdana" w:hAnsi="Verdana"/>
        </w:rPr>
        <w:t xml:space="preserve">Initiate </w:t>
      </w:r>
      <w:r w:rsidRPr="005305BF">
        <w:rPr>
          <w:rFonts w:ascii="Verdana" w:hAnsi="Verdana"/>
          <w:b/>
          <w:bCs/>
        </w:rPr>
        <w:t>i</w:t>
      </w:r>
      <w:r w:rsidR="00EE37CE" w:rsidRPr="005305BF">
        <w:rPr>
          <w:rFonts w:ascii="Verdana" w:hAnsi="Verdana"/>
          <w:b/>
          <w:bCs/>
        </w:rPr>
        <w:t>mprovements</w:t>
      </w:r>
      <w:r w:rsidR="00EE37CE">
        <w:rPr>
          <w:rFonts w:ascii="Verdana" w:hAnsi="Verdana"/>
        </w:rPr>
        <w:t xml:space="preserve"> in policies, processes, and practices</w:t>
      </w:r>
    </w:p>
    <w:p w14:paraId="6B9D35AC" w14:textId="7622BE3F" w:rsidR="00EE37CE" w:rsidRDefault="00EE37CE" w:rsidP="00EE37CE">
      <w:pPr>
        <w:pStyle w:val="ListParagraph"/>
        <w:numPr>
          <w:ilvl w:val="0"/>
          <w:numId w:val="1"/>
        </w:numPr>
        <w:rPr>
          <w:rFonts w:ascii="Verdana" w:hAnsi="Verdana"/>
        </w:rPr>
      </w:pPr>
      <w:r>
        <w:rPr>
          <w:rFonts w:ascii="Verdana" w:hAnsi="Verdana"/>
        </w:rPr>
        <w:t>I</w:t>
      </w:r>
      <w:r w:rsidR="006F4FCC">
        <w:rPr>
          <w:rFonts w:ascii="Verdana" w:hAnsi="Verdana"/>
        </w:rPr>
        <w:t xml:space="preserve">nitiate </w:t>
      </w:r>
      <w:r w:rsidR="006F4FCC" w:rsidRPr="005305BF">
        <w:rPr>
          <w:rFonts w:ascii="Verdana" w:hAnsi="Verdana"/>
          <w:b/>
          <w:bCs/>
        </w:rPr>
        <w:t xml:space="preserve">refinements / </w:t>
      </w:r>
      <w:r w:rsidR="005305BF">
        <w:rPr>
          <w:rFonts w:ascii="Verdana" w:hAnsi="Verdana"/>
          <w:b/>
          <w:bCs/>
        </w:rPr>
        <w:t xml:space="preserve">contemporary </w:t>
      </w:r>
      <w:r w:rsidR="006F4FCC" w:rsidRPr="005305BF">
        <w:rPr>
          <w:rFonts w:ascii="Verdana" w:hAnsi="Verdana"/>
          <w:b/>
          <w:bCs/>
        </w:rPr>
        <w:t>updates</w:t>
      </w:r>
      <w:r>
        <w:rPr>
          <w:rFonts w:ascii="Verdana" w:hAnsi="Verdana"/>
        </w:rPr>
        <w:t xml:space="preserve"> in social media messaging and other published communications</w:t>
      </w:r>
    </w:p>
    <w:p w14:paraId="58CE062D" w14:textId="4D457669" w:rsidR="006F4FCC" w:rsidRDefault="006F4FCC" w:rsidP="006F4FCC">
      <w:pPr>
        <w:rPr>
          <w:rFonts w:ascii="Verdana" w:hAnsi="Verdana"/>
        </w:rPr>
      </w:pPr>
      <w:r>
        <w:rPr>
          <w:rFonts w:ascii="Verdana" w:hAnsi="Verdana"/>
        </w:rPr>
        <w:t>There are two ways to use this Audit.</w:t>
      </w:r>
    </w:p>
    <w:p w14:paraId="7938C783" w14:textId="27300AA4" w:rsidR="006F4FCC" w:rsidRDefault="006F4FCC" w:rsidP="006F4FCC">
      <w:pPr>
        <w:rPr>
          <w:rFonts w:ascii="Verdana" w:hAnsi="Verdana"/>
          <w:b/>
          <w:bCs/>
        </w:rPr>
      </w:pPr>
      <w:r w:rsidRPr="006F4FCC">
        <w:rPr>
          <w:rFonts w:ascii="Verdana" w:hAnsi="Verdana"/>
          <w:b/>
          <w:bCs/>
        </w:rPr>
        <w:t>Method One: Pulse Diversity Audit</w:t>
      </w:r>
      <w:r w:rsidR="005305BF">
        <w:rPr>
          <w:rFonts w:ascii="Verdana" w:hAnsi="Verdana"/>
          <w:b/>
          <w:bCs/>
        </w:rPr>
        <w:t xml:space="preserve"> (</w:t>
      </w:r>
      <w:r w:rsidR="004F1985">
        <w:rPr>
          <w:rFonts w:ascii="Verdana" w:hAnsi="Verdana"/>
          <w:b/>
          <w:bCs/>
        </w:rPr>
        <w:t>Also u</w:t>
      </w:r>
      <w:r w:rsidR="005305BF">
        <w:rPr>
          <w:rFonts w:ascii="Verdana" w:hAnsi="Verdana"/>
          <w:b/>
          <w:bCs/>
        </w:rPr>
        <w:t xml:space="preserve">sed </w:t>
      </w:r>
      <w:r w:rsidR="004F1985">
        <w:rPr>
          <w:rFonts w:ascii="Verdana" w:hAnsi="Verdana"/>
          <w:b/>
          <w:bCs/>
        </w:rPr>
        <w:t>for the</w:t>
      </w:r>
      <w:r w:rsidR="005305BF">
        <w:rPr>
          <w:rFonts w:ascii="Verdana" w:hAnsi="Verdana"/>
          <w:b/>
          <w:bCs/>
        </w:rPr>
        <w:t xml:space="preserve"> 9/11/21 workshop)</w:t>
      </w:r>
    </w:p>
    <w:p w14:paraId="09AF99A8" w14:textId="60FDA297" w:rsidR="00CA1F60" w:rsidRDefault="006F4FCC">
      <w:pPr>
        <w:rPr>
          <w:rFonts w:ascii="Verdana" w:hAnsi="Verdana"/>
        </w:rPr>
      </w:pPr>
      <w:r w:rsidRPr="006F4FCC">
        <w:rPr>
          <w:rFonts w:ascii="Verdana" w:hAnsi="Verdana"/>
        </w:rPr>
        <w:lastRenderedPageBreak/>
        <w:t>The Pulse Audit approach</w:t>
      </w:r>
      <w:r>
        <w:rPr>
          <w:rFonts w:ascii="Verdana" w:hAnsi="Verdana"/>
        </w:rPr>
        <w:t xml:space="preserve"> </w:t>
      </w:r>
      <w:r w:rsidR="005305BF">
        <w:rPr>
          <w:rFonts w:ascii="Verdana" w:hAnsi="Verdana"/>
        </w:rPr>
        <w:t xml:space="preserve">is a swift, “temperature” of the situation, and need not be </w:t>
      </w:r>
      <w:r>
        <w:rPr>
          <w:rFonts w:ascii="Verdana" w:hAnsi="Verdana"/>
        </w:rPr>
        <w:t>precise.</w:t>
      </w:r>
      <w:r w:rsidR="00CA1F60">
        <w:rPr>
          <w:rFonts w:ascii="Verdana" w:hAnsi="Verdana"/>
        </w:rPr>
        <w:t xml:space="preserve"> </w:t>
      </w:r>
      <w:r>
        <w:rPr>
          <w:rFonts w:ascii="Verdana" w:hAnsi="Verdana"/>
        </w:rPr>
        <w:t>The responses may be estimated</w:t>
      </w:r>
      <w:r w:rsidR="005305BF">
        <w:rPr>
          <w:rFonts w:ascii="Verdana" w:hAnsi="Verdana"/>
        </w:rPr>
        <w:t xml:space="preserve">, </w:t>
      </w:r>
      <w:r>
        <w:rPr>
          <w:rFonts w:ascii="Verdana" w:hAnsi="Verdana"/>
        </w:rPr>
        <w:t>based on individual observation or</w:t>
      </w:r>
      <w:r w:rsidR="005305BF">
        <w:rPr>
          <w:rFonts w:ascii="Verdana" w:hAnsi="Verdana"/>
        </w:rPr>
        <w:t xml:space="preserve"> opinion.  It is not appropriate to design programming or set goals with this approach – it is, however, useful to get a categorical understanding of areas that need attention and can help set the stage with decision-makers regarding the need to do a Strategic Diversity Audit.</w:t>
      </w:r>
      <w:r w:rsidR="004D18EA">
        <w:rPr>
          <w:rFonts w:ascii="Verdana" w:hAnsi="Verdana"/>
        </w:rPr>
        <w:t xml:space="preserve"> The </w:t>
      </w:r>
      <w:r w:rsidR="004F1985">
        <w:rPr>
          <w:rFonts w:ascii="Verdana" w:hAnsi="Verdana"/>
        </w:rPr>
        <w:t xml:space="preserve">Pulse Audit is not meant to be hasty or thoughtless – care should be taken to be as accurate in responses as possible. </w:t>
      </w:r>
    </w:p>
    <w:p w14:paraId="7C97F22A" w14:textId="77777777" w:rsidR="00CA1F60" w:rsidRDefault="00CA1F60">
      <w:pPr>
        <w:rPr>
          <w:rFonts w:ascii="Verdana" w:hAnsi="Verdana"/>
          <w:b/>
          <w:bCs/>
        </w:rPr>
      </w:pPr>
    </w:p>
    <w:p w14:paraId="11A864E0" w14:textId="1796AAFB" w:rsidR="006F4FCC" w:rsidRDefault="006F4FCC" w:rsidP="006F4FCC">
      <w:pPr>
        <w:rPr>
          <w:rFonts w:ascii="Verdana" w:hAnsi="Verdana"/>
          <w:b/>
          <w:bCs/>
        </w:rPr>
      </w:pPr>
      <w:r>
        <w:rPr>
          <w:rFonts w:ascii="Verdana" w:hAnsi="Verdana"/>
          <w:b/>
          <w:bCs/>
        </w:rPr>
        <w:t>Method Two: Strategic Diversity Audit</w:t>
      </w:r>
    </w:p>
    <w:p w14:paraId="468E7CF5" w14:textId="54721888" w:rsidR="00D11CD0" w:rsidRPr="004F1985" w:rsidRDefault="006F4FCC" w:rsidP="006F4FCC">
      <w:pPr>
        <w:rPr>
          <w:rFonts w:ascii="Verdana" w:hAnsi="Verdana"/>
          <w:sz w:val="16"/>
          <w:szCs w:val="16"/>
        </w:rPr>
      </w:pPr>
      <w:r w:rsidRPr="006F4FCC">
        <w:rPr>
          <w:rFonts w:ascii="Verdana" w:hAnsi="Verdana"/>
        </w:rPr>
        <w:t>The Strategic Audit approach</w:t>
      </w:r>
      <w:r w:rsidR="005305BF">
        <w:rPr>
          <w:rFonts w:ascii="Verdana" w:hAnsi="Verdana"/>
        </w:rPr>
        <w:t xml:space="preserve"> is </w:t>
      </w:r>
      <w:r w:rsidR="00EB5810">
        <w:rPr>
          <w:rFonts w:ascii="Verdana" w:hAnsi="Verdana"/>
        </w:rPr>
        <w:t>a recommended</w:t>
      </w:r>
      <w:r w:rsidR="00502B97">
        <w:rPr>
          <w:rFonts w:ascii="Verdana" w:hAnsi="Verdana"/>
        </w:rPr>
        <w:t xml:space="preserve"> for any serious DEI initiative. Without it, efforts often fail because initiatives and activities are not in coordinated alignment to the realities and status of the organization. They are simply “movement”, not momentum</w:t>
      </w:r>
      <w:r w:rsidR="00EB5810">
        <w:rPr>
          <w:rFonts w:ascii="Verdana" w:hAnsi="Verdana"/>
        </w:rPr>
        <w:t>, and they falter over time</w:t>
      </w:r>
      <w:r w:rsidR="00502B97">
        <w:rPr>
          <w:rFonts w:ascii="Verdana" w:hAnsi="Verdana"/>
        </w:rPr>
        <w:t xml:space="preserve">.  The Strategic Diversity Audit is conducted with a team approach, best suited to 3-5 individuals including some or all of whom are diversity representatives.  </w:t>
      </w:r>
      <w:r w:rsidR="00D11CD0">
        <w:rPr>
          <w:rFonts w:ascii="Verdana" w:hAnsi="Verdana"/>
        </w:rPr>
        <w:t xml:space="preserve">The following </w:t>
      </w:r>
      <w:r w:rsidR="004D18EA">
        <w:rPr>
          <w:rFonts w:ascii="Verdana" w:hAnsi="Verdana"/>
        </w:rPr>
        <w:t>list</w:t>
      </w:r>
      <w:r w:rsidR="00D11CD0">
        <w:rPr>
          <w:rFonts w:ascii="Verdana" w:hAnsi="Verdana"/>
        </w:rPr>
        <w:t xml:space="preserve"> provides the key activities:</w:t>
      </w:r>
    </w:p>
    <w:p w14:paraId="752DFABD" w14:textId="77777777" w:rsidR="00D11CD0" w:rsidRPr="004F1985" w:rsidRDefault="00D11CD0" w:rsidP="006F4FCC">
      <w:pPr>
        <w:rPr>
          <w:rFonts w:ascii="Verdana" w:hAnsi="Verdana"/>
          <w:sz w:val="16"/>
          <w:szCs w:val="16"/>
        </w:rPr>
      </w:pPr>
    </w:p>
    <w:p w14:paraId="57907A0A" w14:textId="4E371C31" w:rsidR="00EB5810" w:rsidRDefault="00502B97" w:rsidP="00D11CD0">
      <w:pPr>
        <w:pStyle w:val="ListParagraph"/>
        <w:numPr>
          <w:ilvl w:val="0"/>
          <w:numId w:val="2"/>
        </w:numPr>
        <w:rPr>
          <w:rFonts w:ascii="Verdana" w:hAnsi="Verdana"/>
        </w:rPr>
      </w:pPr>
      <w:r w:rsidRPr="00D11CD0">
        <w:rPr>
          <w:rFonts w:ascii="Verdana" w:hAnsi="Verdana"/>
        </w:rPr>
        <w:t>A specific timeline must be set out (typically no more than 3 months in duration)</w:t>
      </w:r>
      <w:r w:rsidR="00236BD1">
        <w:rPr>
          <w:rFonts w:ascii="Verdana" w:hAnsi="Verdana"/>
        </w:rPr>
        <w:t>.</w:t>
      </w:r>
      <w:r w:rsidRPr="00D11CD0">
        <w:rPr>
          <w:rFonts w:ascii="Verdana" w:hAnsi="Verdana"/>
        </w:rPr>
        <w:t xml:space="preserve"> </w:t>
      </w:r>
    </w:p>
    <w:p w14:paraId="75265800" w14:textId="44E30766" w:rsidR="00236BD1" w:rsidRPr="00236BD1" w:rsidRDefault="00236BD1" w:rsidP="00236BD1">
      <w:pPr>
        <w:pStyle w:val="ListParagraph"/>
        <w:numPr>
          <w:ilvl w:val="0"/>
          <w:numId w:val="2"/>
        </w:numPr>
        <w:rPr>
          <w:rFonts w:ascii="Verdana" w:hAnsi="Verdana"/>
        </w:rPr>
      </w:pPr>
      <w:r w:rsidRPr="00D11CD0">
        <w:rPr>
          <w:rFonts w:ascii="Verdana" w:hAnsi="Verdana"/>
        </w:rPr>
        <w:t xml:space="preserve">The first meeting </w:t>
      </w:r>
      <w:r>
        <w:rPr>
          <w:rFonts w:ascii="Verdana" w:hAnsi="Verdana"/>
        </w:rPr>
        <w:t>is</w:t>
      </w:r>
      <w:r w:rsidRPr="00D11CD0">
        <w:rPr>
          <w:rFonts w:ascii="Verdana" w:hAnsi="Verdana"/>
        </w:rPr>
        <w:t xml:space="preserve"> focused on customizing the Audit Tool – adding or deleting specific items, and discussing how the data will be collected, and by whom. </w:t>
      </w:r>
    </w:p>
    <w:p w14:paraId="05CC9143" w14:textId="1DFC9F1B" w:rsidR="00D11CD0" w:rsidRDefault="00EB5810" w:rsidP="00D11CD0">
      <w:pPr>
        <w:pStyle w:val="ListParagraph"/>
        <w:numPr>
          <w:ilvl w:val="0"/>
          <w:numId w:val="2"/>
        </w:numPr>
        <w:rPr>
          <w:rFonts w:ascii="Verdana" w:hAnsi="Verdana"/>
        </w:rPr>
      </w:pPr>
      <w:r>
        <w:rPr>
          <w:rFonts w:ascii="Verdana" w:hAnsi="Verdana"/>
        </w:rPr>
        <w:t>Specific audit r</w:t>
      </w:r>
      <w:r w:rsidR="00502B97" w:rsidRPr="00D11CD0">
        <w:rPr>
          <w:rFonts w:ascii="Verdana" w:hAnsi="Verdana"/>
        </w:rPr>
        <w:t>esponsibilities assigned to specific team members.</w:t>
      </w:r>
      <w:r w:rsidR="00236BD1">
        <w:rPr>
          <w:rFonts w:ascii="Verdana" w:hAnsi="Verdana"/>
        </w:rPr>
        <w:t xml:space="preserve"> Those team members may be able to answer the Audit questions directly, or they need to capture data from another source or expert, or design a survey or, in some cases, request a raw data pull.</w:t>
      </w:r>
    </w:p>
    <w:p w14:paraId="12943956" w14:textId="77777777" w:rsidR="00D11CD0" w:rsidRDefault="00D11CD0" w:rsidP="00D11CD0">
      <w:pPr>
        <w:pStyle w:val="ListParagraph"/>
        <w:numPr>
          <w:ilvl w:val="0"/>
          <w:numId w:val="2"/>
        </w:numPr>
        <w:rPr>
          <w:rFonts w:ascii="Verdana" w:hAnsi="Verdana"/>
        </w:rPr>
      </w:pPr>
      <w:r w:rsidRPr="00D11CD0">
        <w:rPr>
          <w:rFonts w:ascii="Verdana" w:hAnsi="Verdana"/>
        </w:rPr>
        <w:t>A letter explaining the process to the board or organization leadership should be determined at this point.</w:t>
      </w:r>
      <w:r w:rsidR="00502B97" w:rsidRPr="00D11CD0">
        <w:rPr>
          <w:rFonts w:ascii="Verdana" w:hAnsi="Verdana"/>
        </w:rPr>
        <w:t xml:space="preserve"> </w:t>
      </w:r>
    </w:p>
    <w:p w14:paraId="07F74874" w14:textId="549FB4DC" w:rsidR="006D0944" w:rsidRDefault="00502B97" w:rsidP="00D11CD0">
      <w:pPr>
        <w:pStyle w:val="ListParagraph"/>
        <w:numPr>
          <w:ilvl w:val="0"/>
          <w:numId w:val="2"/>
        </w:numPr>
        <w:rPr>
          <w:rFonts w:ascii="Verdana" w:hAnsi="Verdana"/>
        </w:rPr>
      </w:pPr>
      <w:r w:rsidRPr="00D11CD0">
        <w:rPr>
          <w:rFonts w:ascii="Verdana" w:hAnsi="Verdana"/>
        </w:rPr>
        <w:t>Periodic team meetings are held, with members bringing findings, including actual documents</w:t>
      </w:r>
      <w:r w:rsidR="00D11CD0" w:rsidRPr="00D11CD0">
        <w:rPr>
          <w:rFonts w:ascii="Verdana" w:hAnsi="Verdana"/>
        </w:rPr>
        <w:t xml:space="preserve">. </w:t>
      </w:r>
    </w:p>
    <w:p w14:paraId="0DEA4FD7" w14:textId="4B02B351" w:rsidR="00236BD1" w:rsidRDefault="00236BD1" w:rsidP="00D11CD0">
      <w:pPr>
        <w:pStyle w:val="ListParagraph"/>
        <w:numPr>
          <w:ilvl w:val="0"/>
          <w:numId w:val="2"/>
        </w:numPr>
        <w:rPr>
          <w:rFonts w:ascii="Verdana" w:hAnsi="Verdana"/>
        </w:rPr>
      </w:pPr>
      <w:r>
        <w:rPr>
          <w:rFonts w:ascii="Verdana" w:hAnsi="Verdana"/>
        </w:rPr>
        <w:t>In order to convey a sense of accuracy to the process, it is recommended that team members collect and bring the content, but that the Audit questions are filled out and agreed upon by the team.</w:t>
      </w:r>
    </w:p>
    <w:p w14:paraId="115DE3AF" w14:textId="0D79B745" w:rsidR="004F1985" w:rsidRDefault="00D11CD0" w:rsidP="00D11CD0">
      <w:pPr>
        <w:pStyle w:val="ListParagraph"/>
        <w:numPr>
          <w:ilvl w:val="0"/>
          <w:numId w:val="2"/>
        </w:numPr>
        <w:rPr>
          <w:rFonts w:ascii="Verdana" w:hAnsi="Verdana"/>
        </w:rPr>
      </w:pPr>
      <w:r w:rsidRPr="00D11CD0">
        <w:rPr>
          <w:rFonts w:ascii="Verdana" w:hAnsi="Verdana"/>
        </w:rPr>
        <w:t>All source data is dated and archi</w:t>
      </w:r>
      <w:r w:rsidR="00EB5810">
        <w:rPr>
          <w:rFonts w:ascii="Verdana" w:hAnsi="Verdana"/>
        </w:rPr>
        <w:t>ved.</w:t>
      </w:r>
    </w:p>
    <w:p w14:paraId="11788758" w14:textId="45B7213C" w:rsidR="00EB5810" w:rsidRPr="00EB5810" w:rsidRDefault="00EB5810" w:rsidP="00EB5810">
      <w:pPr>
        <w:pStyle w:val="ListParagraph"/>
        <w:numPr>
          <w:ilvl w:val="0"/>
          <w:numId w:val="2"/>
        </w:numPr>
        <w:rPr>
          <w:rFonts w:ascii="Verdana" w:hAnsi="Verdana"/>
        </w:rPr>
      </w:pPr>
      <w:r>
        <w:rPr>
          <w:rFonts w:ascii="Verdana" w:hAnsi="Verdana"/>
        </w:rPr>
        <w:t>Presentation of the findings should be factual</w:t>
      </w:r>
      <w:r w:rsidRPr="00D11CD0">
        <w:rPr>
          <w:rFonts w:ascii="Verdana" w:hAnsi="Verdana"/>
        </w:rPr>
        <w:t xml:space="preserve"> </w:t>
      </w:r>
      <w:r>
        <w:rPr>
          <w:rFonts w:ascii="Verdana" w:hAnsi="Verdana"/>
        </w:rPr>
        <w:t>and is used to drive future diversity workstreams (see pg. 1) and to identify progress over time.</w:t>
      </w:r>
      <w:r w:rsidR="00236BD1">
        <w:rPr>
          <w:rFonts w:ascii="Verdana" w:hAnsi="Verdana"/>
        </w:rPr>
        <w:t xml:space="preserve"> </w:t>
      </w:r>
    </w:p>
    <w:p w14:paraId="4C11E872" w14:textId="596D3D7F" w:rsidR="00EB5810" w:rsidRDefault="00EB5810" w:rsidP="00D11CD0">
      <w:pPr>
        <w:pStyle w:val="ListParagraph"/>
        <w:numPr>
          <w:ilvl w:val="0"/>
          <w:numId w:val="2"/>
        </w:numPr>
        <w:rPr>
          <w:rFonts w:ascii="Verdana" w:hAnsi="Verdana"/>
        </w:rPr>
      </w:pPr>
      <w:r>
        <w:rPr>
          <w:rFonts w:ascii="Verdana" w:hAnsi="Verdana"/>
        </w:rPr>
        <w:t>What should be published – and to whom – is best determined through collaboration between the committee and leadership. We have most often seen this decision made upon viewing the data and assessing what</w:t>
      </w:r>
    </w:p>
    <w:p w14:paraId="017E10A1" w14:textId="0898AB72" w:rsidR="00D12B2B" w:rsidRDefault="004F1985">
      <w:r w:rsidRPr="004F1985">
        <w:rPr>
          <w:rFonts w:ascii="Verdana" w:hAnsi="Verdana"/>
          <w:i/>
          <w:iCs/>
        </w:rPr>
        <w:t>Note: A Pulse Diversity Audit is not necessary, whereas a Strategic Diversity Audit is.</w:t>
      </w:r>
      <w:r>
        <w:rPr>
          <w:rFonts w:ascii="Verdana" w:hAnsi="Verdana"/>
          <w:i/>
          <w:iCs/>
        </w:rPr>
        <w:t xml:space="preserve"> The former can be an initial step that is added to support momentum toward the second.</w:t>
      </w:r>
    </w:p>
    <w:sectPr w:rsidR="00D12B2B" w:rsidSect="00CA1F60">
      <w:footerReference w:type="default" r:id="rId1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0B1BAE" w14:textId="77777777" w:rsidR="00B948E3" w:rsidRDefault="00B948E3" w:rsidP="004D18EA">
      <w:pPr>
        <w:spacing w:after="0" w:line="240" w:lineRule="auto"/>
      </w:pPr>
      <w:r>
        <w:separator/>
      </w:r>
    </w:p>
  </w:endnote>
  <w:endnote w:type="continuationSeparator" w:id="0">
    <w:p w14:paraId="05D73299" w14:textId="77777777" w:rsidR="00B948E3" w:rsidRDefault="00B948E3" w:rsidP="004D18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6076632"/>
      <w:docPartObj>
        <w:docPartGallery w:val="Page Numbers (Bottom of Page)"/>
        <w:docPartUnique/>
      </w:docPartObj>
    </w:sdtPr>
    <w:sdtEndPr>
      <w:rPr>
        <w:noProof/>
      </w:rPr>
    </w:sdtEndPr>
    <w:sdtContent>
      <w:p w14:paraId="29C916B8" w14:textId="225882CA" w:rsidR="004D18EA" w:rsidRDefault="004D18EA">
        <w:pPr>
          <w:pStyle w:val="Footer"/>
        </w:pPr>
        <w:r>
          <w:fldChar w:fldCharType="begin"/>
        </w:r>
        <w:r>
          <w:instrText xml:space="preserve"> PAGE   \* MERGEFORMAT </w:instrText>
        </w:r>
        <w:r>
          <w:fldChar w:fldCharType="separate"/>
        </w:r>
        <w:r>
          <w:rPr>
            <w:noProof/>
          </w:rPr>
          <w:t>2</w:t>
        </w:r>
        <w:r>
          <w:rPr>
            <w:noProof/>
          </w:rPr>
          <w:fldChar w:fldCharType="end"/>
        </w:r>
      </w:p>
    </w:sdtContent>
  </w:sdt>
  <w:p w14:paraId="7DE9E338" w14:textId="77777777" w:rsidR="004D18EA" w:rsidRDefault="004D18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9F3206" w14:textId="77777777" w:rsidR="00B948E3" w:rsidRDefault="00B948E3" w:rsidP="004D18EA">
      <w:pPr>
        <w:spacing w:after="0" w:line="240" w:lineRule="auto"/>
      </w:pPr>
      <w:r>
        <w:separator/>
      </w:r>
    </w:p>
  </w:footnote>
  <w:footnote w:type="continuationSeparator" w:id="0">
    <w:p w14:paraId="0E05A91B" w14:textId="77777777" w:rsidR="00B948E3" w:rsidRDefault="00B948E3" w:rsidP="004D18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16011"/>
    <w:multiLevelType w:val="hybridMultilevel"/>
    <w:tmpl w:val="6374E16C"/>
    <w:lvl w:ilvl="0" w:tplc="2446E19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F460D91"/>
    <w:multiLevelType w:val="hybridMultilevel"/>
    <w:tmpl w:val="6D5497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B2B"/>
    <w:rsid w:val="00176A60"/>
    <w:rsid w:val="00236BD1"/>
    <w:rsid w:val="00260417"/>
    <w:rsid w:val="004D18EA"/>
    <w:rsid w:val="004F1985"/>
    <w:rsid w:val="00502B97"/>
    <w:rsid w:val="005305BF"/>
    <w:rsid w:val="006D0944"/>
    <w:rsid w:val="006F4FCC"/>
    <w:rsid w:val="00A359FD"/>
    <w:rsid w:val="00B948E3"/>
    <w:rsid w:val="00CA1F60"/>
    <w:rsid w:val="00D11CD0"/>
    <w:rsid w:val="00D12B2B"/>
    <w:rsid w:val="00EB5810"/>
    <w:rsid w:val="00EE37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25627"/>
  <w15:chartTrackingRefBased/>
  <w15:docId w15:val="{F1D2FA9E-81A0-4F7D-A6FB-C579E70C1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37CE"/>
    <w:pPr>
      <w:ind w:left="720"/>
      <w:contextualSpacing/>
    </w:pPr>
  </w:style>
  <w:style w:type="paragraph" w:styleId="Header">
    <w:name w:val="header"/>
    <w:basedOn w:val="Normal"/>
    <w:link w:val="HeaderChar"/>
    <w:uiPriority w:val="99"/>
    <w:unhideWhenUsed/>
    <w:rsid w:val="004D18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18EA"/>
  </w:style>
  <w:style w:type="paragraph" w:styleId="Footer">
    <w:name w:val="footer"/>
    <w:basedOn w:val="Normal"/>
    <w:link w:val="FooterChar"/>
    <w:uiPriority w:val="99"/>
    <w:unhideWhenUsed/>
    <w:rsid w:val="004D18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18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oter" Target="footer1.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diagramDrawing" Target="diagrams/drawing1.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diagramQuickStyle" Target="diagrams/quickStyle1.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7429874-1499-43F8-BD01-2D64B0554778}" type="doc">
      <dgm:prSet loTypeId="urn:microsoft.com/office/officeart/2005/8/layout/matrix3" loCatId="matrix" qsTypeId="urn:microsoft.com/office/officeart/2005/8/quickstyle/simple1" qsCatId="simple" csTypeId="urn:microsoft.com/office/officeart/2005/8/colors/accent1_2" csCatId="accent1" phldr="1"/>
      <dgm:spPr/>
      <dgm:t>
        <a:bodyPr/>
        <a:lstStyle/>
        <a:p>
          <a:endParaRPr lang="en-US"/>
        </a:p>
      </dgm:t>
    </dgm:pt>
    <dgm:pt modelId="{181E564D-0577-4FDA-9CAE-DAB8F72BF6FE}">
      <dgm:prSet phldrT="[Text]"/>
      <dgm:spPr/>
      <dgm:t>
        <a:bodyPr/>
        <a:lstStyle/>
        <a:p>
          <a:r>
            <a:rPr lang="en-US" dirty="0"/>
            <a:t>Data</a:t>
          </a:r>
        </a:p>
      </dgm:t>
    </dgm:pt>
    <dgm:pt modelId="{55D9AE92-BC8F-4ECB-A4C0-3B70BF948586}" type="parTrans" cxnId="{3917230A-D97A-4332-98DF-C5C4AD085F7A}">
      <dgm:prSet/>
      <dgm:spPr/>
      <dgm:t>
        <a:bodyPr/>
        <a:lstStyle/>
        <a:p>
          <a:endParaRPr lang="en-US"/>
        </a:p>
      </dgm:t>
    </dgm:pt>
    <dgm:pt modelId="{53582740-D208-4FD8-B85A-DA1D058CABC0}" type="sibTrans" cxnId="{3917230A-D97A-4332-98DF-C5C4AD085F7A}">
      <dgm:prSet/>
      <dgm:spPr/>
      <dgm:t>
        <a:bodyPr/>
        <a:lstStyle/>
        <a:p>
          <a:endParaRPr lang="en-US"/>
        </a:p>
      </dgm:t>
    </dgm:pt>
    <dgm:pt modelId="{53807573-E4BD-433C-AFA2-D6C00B628B4E}">
      <dgm:prSet phldrT="[Text]"/>
      <dgm:spPr/>
      <dgm:t>
        <a:bodyPr/>
        <a:lstStyle/>
        <a:p>
          <a:r>
            <a:rPr lang="en-US" dirty="0"/>
            <a:t>Culture</a:t>
          </a:r>
        </a:p>
      </dgm:t>
    </dgm:pt>
    <dgm:pt modelId="{48B3A6A1-4AB7-4AE8-89A0-4A62D30E36F2}" type="parTrans" cxnId="{8281F0CC-7B7F-4FEF-9946-AF73752998B0}">
      <dgm:prSet/>
      <dgm:spPr/>
      <dgm:t>
        <a:bodyPr/>
        <a:lstStyle/>
        <a:p>
          <a:endParaRPr lang="en-US"/>
        </a:p>
      </dgm:t>
    </dgm:pt>
    <dgm:pt modelId="{6E7EF840-C30A-4AC1-9DC4-6DCC0C022A5A}" type="sibTrans" cxnId="{8281F0CC-7B7F-4FEF-9946-AF73752998B0}">
      <dgm:prSet/>
      <dgm:spPr/>
      <dgm:t>
        <a:bodyPr/>
        <a:lstStyle/>
        <a:p>
          <a:endParaRPr lang="en-US"/>
        </a:p>
      </dgm:t>
    </dgm:pt>
    <dgm:pt modelId="{C98F8A73-132A-4DAF-9D8B-F8453AC93A7A}">
      <dgm:prSet phldrT="[Text]"/>
      <dgm:spPr/>
      <dgm:t>
        <a:bodyPr/>
        <a:lstStyle/>
        <a:p>
          <a:r>
            <a:rPr lang="en-US" dirty="0"/>
            <a:t>Policies</a:t>
          </a:r>
        </a:p>
      </dgm:t>
    </dgm:pt>
    <dgm:pt modelId="{B40DADC9-3834-4781-A2F6-3705D655A360}" type="parTrans" cxnId="{0F418471-6935-4AC6-BEDA-B2C91DC8A8BD}">
      <dgm:prSet/>
      <dgm:spPr/>
      <dgm:t>
        <a:bodyPr/>
        <a:lstStyle/>
        <a:p>
          <a:endParaRPr lang="en-US"/>
        </a:p>
      </dgm:t>
    </dgm:pt>
    <dgm:pt modelId="{80EE48A4-0648-4312-85C5-24E356B958A4}" type="sibTrans" cxnId="{0F418471-6935-4AC6-BEDA-B2C91DC8A8BD}">
      <dgm:prSet/>
      <dgm:spPr/>
      <dgm:t>
        <a:bodyPr/>
        <a:lstStyle/>
        <a:p>
          <a:endParaRPr lang="en-US"/>
        </a:p>
      </dgm:t>
    </dgm:pt>
    <dgm:pt modelId="{4794DA40-1FC6-4EC2-9967-FEB98B6B7430}">
      <dgm:prSet phldrT="[Text]"/>
      <dgm:spPr/>
      <dgm:t>
        <a:bodyPr/>
        <a:lstStyle/>
        <a:p>
          <a:r>
            <a:rPr lang="en-US" dirty="0"/>
            <a:t>Processes</a:t>
          </a:r>
        </a:p>
      </dgm:t>
    </dgm:pt>
    <dgm:pt modelId="{D8ACCDCA-FCF0-4772-A1B1-5BAC2E5C74C0}" type="parTrans" cxnId="{DA630489-E5D2-4D54-9FF5-B89A5AFF2B14}">
      <dgm:prSet/>
      <dgm:spPr/>
      <dgm:t>
        <a:bodyPr/>
        <a:lstStyle/>
        <a:p>
          <a:endParaRPr lang="en-US"/>
        </a:p>
      </dgm:t>
    </dgm:pt>
    <dgm:pt modelId="{0885BBEB-E9F9-4D2A-BFC2-8B588417F301}" type="sibTrans" cxnId="{DA630489-E5D2-4D54-9FF5-B89A5AFF2B14}">
      <dgm:prSet/>
      <dgm:spPr/>
      <dgm:t>
        <a:bodyPr/>
        <a:lstStyle/>
        <a:p>
          <a:endParaRPr lang="en-US"/>
        </a:p>
      </dgm:t>
    </dgm:pt>
    <dgm:pt modelId="{1A30AF76-4EF7-4948-83ED-83A60BFF3480}" type="pres">
      <dgm:prSet presAssocID="{77429874-1499-43F8-BD01-2D64B0554778}" presName="matrix" presStyleCnt="0">
        <dgm:presLayoutVars>
          <dgm:chMax val="1"/>
          <dgm:dir/>
          <dgm:resizeHandles val="exact"/>
        </dgm:presLayoutVars>
      </dgm:prSet>
      <dgm:spPr/>
    </dgm:pt>
    <dgm:pt modelId="{09059433-29CA-44FB-B6AA-307BA95BF1C2}" type="pres">
      <dgm:prSet presAssocID="{77429874-1499-43F8-BD01-2D64B0554778}" presName="diamond" presStyleLbl="bgShp" presStyleIdx="0" presStyleCnt="1"/>
      <dgm:spPr/>
    </dgm:pt>
    <dgm:pt modelId="{6218B38F-636B-4571-9EF1-CF233527AB48}" type="pres">
      <dgm:prSet presAssocID="{77429874-1499-43F8-BD01-2D64B0554778}" presName="quad1" presStyleLbl="node1" presStyleIdx="0" presStyleCnt="4">
        <dgm:presLayoutVars>
          <dgm:chMax val="0"/>
          <dgm:chPref val="0"/>
          <dgm:bulletEnabled val="1"/>
        </dgm:presLayoutVars>
      </dgm:prSet>
      <dgm:spPr/>
    </dgm:pt>
    <dgm:pt modelId="{A2D25E71-4DF0-40EA-8B91-7E83E9F793B9}" type="pres">
      <dgm:prSet presAssocID="{77429874-1499-43F8-BD01-2D64B0554778}" presName="quad2" presStyleLbl="node1" presStyleIdx="1" presStyleCnt="4">
        <dgm:presLayoutVars>
          <dgm:chMax val="0"/>
          <dgm:chPref val="0"/>
          <dgm:bulletEnabled val="1"/>
        </dgm:presLayoutVars>
      </dgm:prSet>
      <dgm:spPr/>
    </dgm:pt>
    <dgm:pt modelId="{05BCDD25-0EDE-4F30-BF22-D97D9B783C19}" type="pres">
      <dgm:prSet presAssocID="{77429874-1499-43F8-BD01-2D64B0554778}" presName="quad3" presStyleLbl="node1" presStyleIdx="2" presStyleCnt="4">
        <dgm:presLayoutVars>
          <dgm:chMax val="0"/>
          <dgm:chPref val="0"/>
          <dgm:bulletEnabled val="1"/>
        </dgm:presLayoutVars>
      </dgm:prSet>
      <dgm:spPr/>
    </dgm:pt>
    <dgm:pt modelId="{D0F45AED-D6BF-433C-930C-2330EC087FB1}" type="pres">
      <dgm:prSet presAssocID="{77429874-1499-43F8-BD01-2D64B0554778}" presName="quad4" presStyleLbl="node1" presStyleIdx="3" presStyleCnt="4">
        <dgm:presLayoutVars>
          <dgm:chMax val="0"/>
          <dgm:chPref val="0"/>
          <dgm:bulletEnabled val="1"/>
        </dgm:presLayoutVars>
      </dgm:prSet>
      <dgm:spPr/>
    </dgm:pt>
  </dgm:ptLst>
  <dgm:cxnLst>
    <dgm:cxn modelId="{37475F00-AD11-4E82-8E45-353B40B65237}" type="presOf" srcId="{181E564D-0577-4FDA-9CAE-DAB8F72BF6FE}" destId="{6218B38F-636B-4571-9EF1-CF233527AB48}" srcOrd="0" destOrd="0" presId="urn:microsoft.com/office/officeart/2005/8/layout/matrix3"/>
    <dgm:cxn modelId="{3917230A-D97A-4332-98DF-C5C4AD085F7A}" srcId="{77429874-1499-43F8-BD01-2D64B0554778}" destId="{181E564D-0577-4FDA-9CAE-DAB8F72BF6FE}" srcOrd="0" destOrd="0" parTransId="{55D9AE92-BC8F-4ECB-A4C0-3B70BF948586}" sibTransId="{53582740-D208-4FD8-B85A-DA1D058CABC0}"/>
    <dgm:cxn modelId="{4B08471E-7A25-4806-88D9-2E0B06DCEEA5}" type="presOf" srcId="{77429874-1499-43F8-BD01-2D64B0554778}" destId="{1A30AF76-4EF7-4948-83ED-83A60BFF3480}" srcOrd="0" destOrd="0" presId="urn:microsoft.com/office/officeart/2005/8/layout/matrix3"/>
    <dgm:cxn modelId="{9163413D-7723-45BD-AEED-E6EBE8F11A08}" type="presOf" srcId="{53807573-E4BD-433C-AFA2-D6C00B628B4E}" destId="{A2D25E71-4DF0-40EA-8B91-7E83E9F793B9}" srcOrd="0" destOrd="0" presId="urn:microsoft.com/office/officeart/2005/8/layout/matrix3"/>
    <dgm:cxn modelId="{0F418471-6935-4AC6-BEDA-B2C91DC8A8BD}" srcId="{77429874-1499-43F8-BD01-2D64B0554778}" destId="{C98F8A73-132A-4DAF-9D8B-F8453AC93A7A}" srcOrd="2" destOrd="0" parTransId="{B40DADC9-3834-4781-A2F6-3705D655A360}" sibTransId="{80EE48A4-0648-4312-85C5-24E356B958A4}"/>
    <dgm:cxn modelId="{DA630489-E5D2-4D54-9FF5-B89A5AFF2B14}" srcId="{77429874-1499-43F8-BD01-2D64B0554778}" destId="{4794DA40-1FC6-4EC2-9967-FEB98B6B7430}" srcOrd="3" destOrd="0" parTransId="{D8ACCDCA-FCF0-4772-A1B1-5BAC2E5C74C0}" sibTransId="{0885BBEB-E9F9-4D2A-BFC2-8B588417F301}"/>
    <dgm:cxn modelId="{4A7289B5-1EC9-48BF-8C44-8F34229936EB}" type="presOf" srcId="{4794DA40-1FC6-4EC2-9967-FEB98B6B7430}" destId="{D0F45AED-D6BF-433C-930C-2330EC087FB1}" srcOrd="0" destOrd="0" presId="urn:microsoft.com/office/officeart/2005/8/layout/matrix3"/>
    <dgm:cxn modelId="{8281F0CC-7B7F-4FEF-9946-AF73752998B0}" srcId="{77429874-1499-43F8-BD01-2D64B0554778}" destId="{53807573-E4BD-433C-AFA2-D6C00B628B4E}" srcOrd="1" destOrd="0" parTransId="{48B3A6A1-4AB7-4AE8-89A0-4A62D30E36F2}" sibTransId="{6E7EF840-C30A-4AC1-9DC4-6DCC0C022A5A}"/>
    <dgm:cxn modelId="{2BD766FC-89A4-4B0C-A678-F7443E7DB519}" type="presOf" srcId="{C98F8A73-132A-4DAF-9D8B-F8453AC93A7A}" destId="{05BCDD25-0EDE-4F30-BF22-D97D9B783C19}" srcOrd="0" destOrd="0" presId="urn:microsoft.com/office/officeart/2005/8/layout/matrix3"/>
    <dgm:cxn modelId="{1BB66D4B-7A5F-4D75-BD2C-B18DD4043C86}" type="presParOf" srcId="{1A30AF76-4EF7-4948-83ED-83A60BFF3480}" destId="{09059433-29CA-44FB-B6AA-307BA95BF1C2}" srcOrd="0" destOrd="0" presId="urn:microsoft.com/office/officeart/2005/8/layout/matrix3"/>
    <dgm:cxn modelId="{F9679827-C01B-4C23-8D02-A9BDA51516D8}" type="presParOf" srcId="{1A30AF76-4EF7-4948-83ED-83A60BFF3480}" destId="{6218B38F-636B-4571-9EF1-CF233527AB48}" srcOrd="1" destOrd="0" presId="urn:microsoft.com/office/officeart/2005/8/layout/matrix3"/>
    <dgm:cxn modelId="{DE9390BF-230D-48BA-AA25-C20ABA4FD3B2}" type="presParOf" srcId="{1A30AF76-4EF7-4948-83ED-83A60BFF3480}" destId="{A2D25E71-4DF0-40EA-8B91-7E83E9F793B9}" srcOrd="2" destOrd="0" presId="urn:microsoft.com/office/officeart/2005/8/layout/matrix3"/>
    <dgm:cxn modelId="{FBD49994-41E2-40B9-BFA2-26B5D543C8B5}" type="presParOf" srcId="{1A30AF76-4EF7-4948-83ED-83A60BFF3480}" destId="{05BCDD25-0EDE-4F30-BF22-D97D9B783C19}" srcOrd="3" destOrd="0" presId="urn:microsoft.com/office/officeart/2005/8/layout/matrix3"/>
    <dgm:cxn modelId="{3784A2AD-B59A-41BB-BE91-0EF117FFD53A}" type="presParOf" srcId="{1A30AF76-4EF7-4948-83ED-83A60BFF3480}" destId="{D0F45AED-D6BF-433C-930C-2330EC087FB1}" srcOrd="4" destOrd="0" presId="urn:microsoft.com/office/officeart/2005/8/layout/matrix3"/>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9059433-29CA-44FB-B6AA-307BA95BF1C2}">
      <dsp:nvSpPr>
        <dsp:cNvPr id="0" name=""/>
        <dsp:cNvSpPr/>
      </dsp:nvSpPr>
      <dsp:spPr>
        <a:xfrm>
          <a:off x="436129" y="0"/>
          <a:ext cx="1553671" cy="1553671"/>
        </a:xfrm>
        <a:prstGeom prst="diamond">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6218B38F-636B-4571-9EF1-CF233527AB48}">
      <dsp:nvSpPr>
        <dsp:cNvPr id="0" name=""/>
        <dsp:cNvSpPr/>
      </dsp:nvSpPr>
      <dsp:spPr>
        <a:xfrm>
          <a:off x="583728" y="147598"/>
          <a:ext cx="605931" cy="605931"/>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dirty="0"/>
            <a:t>Data</a:t>
          </a:r>
        </a:p>
      </dsp:txBody>
      <dsp:txXfrm>
        <a:off x="613307" y="177177"/>
        <a:ext cx="546773" cy="546773"/>
      </dsp:txXfrm>
    </dsp:sp>
    <dsp:sp modelId="{A2D25E71-4DF0-40EA-8B91-7E83E9F793B9}">
      <dsp:nvSpPr>
        <dsp:cNvPr id="0" name=""/>
        <dsp:cNvSpPr/>
      </dsp:nvSpPr>
      <dsp:spPr>
        <a:xfrm>
          <a:off x="1236270" y="147598"/>
          <a:ext cx="605931" cy="605931"/>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dirty="0"/>
            <a:t>Culture</a:t>
          </a:r>
        </a:p>
      </dsp:txBody>
      <dsp:txXfrm>
        <a:off x="1265849" y="177177"/>
        <a:ext cx="546773" cy="546773"/>
      </dsp:txXfrm>
    </dsp:sp>
    <dsp:sp modelId="{05BCDD25-0EDE-4F30-BF22-D97D9B783C19}">
      <dsp:nvSpPr>
        <dsp:cNvPr id="0" name=""/>
        <dsp:cNvSpPr/>
      </dsp:nvSpPr>
      <dsp:spPr>
        <a:xfrm>
          <a:off x="583728" y="800140"/>
          <a:ext cx="605931" cy="605931"/>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dirty="0"/>
            <a:t>Policies</a:t>
          </a:r>
        </a:p>
      </dsp:txBody>
      <dsp:txXfrm>
        <a:off x="613307" y="829719"/>
        <a:ext cx="546773" cy="546773"/>
      </dsp:txXfrm>
    </dsp:sp>
    <dsp:sp modelId="{D0F45AED-D6BF-433C-930C-2330EC087FB1}">
      <dsp:nvSpPr>
        <dsp:cNvPr id="0" name=""/>
        <dsp:cNvSpPr/>
      </dsp:nvSpPr>
      <dsp:spPr>
        <a:xfrm>
          <a:off x="1236270" y="800140"/>
          <a:ext cx="605931" cy="605931"/>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dirty="0"/>
            <a:t>Processes</a:t>
          </a:r>
        </a:p>
      </dsp:txBody>
      <dsp:txXfrm>
        <a:off x="1265849" y="829719"/>
        <a:ext cx="546773" cy="546773"/>
      </dsp:txXfrm>
    </dsp:sp>
  </dsp:spTree>
</dsp:drawing>
</file>

<file path=word/diagrams/layout1.xml><?xml version="1.0" encoding="utf-8"?>
<dgm:layoutDef xmlns:dgm="http://schemas.openxmlformats.org/drawingml/2006/diagram" xmlns:a="http://schemas.openxmlformats.org/drawingml/2006/main" uniqueId="urn:microsoft.com/office/officeart/2005/8/layout/matrix3">
  <dgm:title val=""/>
  <dgm:desc val=""/>
  <dgm:catLst>
    <dgm:cat type="matrix" pri="1000"/>
    <dgm:cat type="convert" pri="18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0" destOrd="0"/>
        <dgm:cxn modelId="8" srcId="0" destId="4" srcOrd="1" destOrd="0"/>
      </dgm:cxnLst>
      <dgm:bg/>
      <dgm:whole/>
    </dgm:dataModel>
  </dgm:sampData>
  <dgm:styleData useDef="1">
    <dgm:dataModel>
      <dgm:ptLst/>
      <dgm:bg/>
      <dgm:whole/>
    </dgm:dataModel>
  </dgm:styleData>
  <dgm:clrData useDef="1">
    <dgm:dataModel>
      <dgm:ptLst/>
      <dgm:bg/>
      <dgm:whole/>
    </dgm:dataModel>
  </dgm:clrData>
  <dgm:layoutNode name="matrix">
    <dgm:varLst>
      <dgm:chMax val="1"/>
      <dgm:dir/>
      <dgm:resizeHandles val="exact"/>
    </dgm:varLst>
    <dgm:alg type="composite">
      <dgm:param type="ar" val="1"/>
    </dgm:alg>
    <dgm:shape xmlns:r="http://schemas.openxmlformats.org/officeDocument/2006/relationships" r:blip="">
      <dgm:adjLst/>
    </dgm:shape>
    <dgm:presOf/>
    <dgm:choose name="Name0">
      <dgm:if name="Name1" func="var" arg="dir" op="equ" val="norm">
        <dgm:constrLst>
          <dgm:constr type="w" for="ch" forName="diamond" refType="w"/>
          <dgm:constr type="h" for="ch" forName="diamond" refType="h"/>
          <dgm:constr type="w" for="ch" forName="quad1" refType="w" fact="0.39"/>
          <dgm:constr type="h" for="ch" forName="quad1" refType="h" fact="0.39"/>
          <dgm:constr type="ctrX" for="ch" forName="quad1" refType="w" fact="0.29"/>
          <dgm:constr type="ctrY" for="ch" forName="quad1" refType="h" fact="0.29"/>
          <dgm:constr type="w" for="ch" forName="quad2" refType="w" fact="0.39"/>
          <dgm:constr type="h" for="ch" forName="quad2" refType="h" fact="0.39"/>
          <dgm:constr type="ctrX" for="ch" forName="quad2" refType="w" fact="0.71"/>
          <dgm:constr type="ctrY" for="ch" forName="quad2" refType="h" fact="0.29"/>
          <dgm:constr type="w" for="ch" forName="quad3" refType="w" fact="0.39"/>
          <dgm:constr type="h" for="ch" forName="quad3" refType="h" fact="0.39"/>
          <dgm:constr type="ctrX" for="ch" forName="quad3" refType="w" fact="0.29"/>
          <dgm:constr type="ctrY" for="ch" forName="quad3" refType="h" fact="0.71"/>
          <dgm:constr type="w" for="ch" forName="quad4" refType="w" fact="0.39"/>
          <dgm:constr type="h" for="ch" forName="quad4" refType="h" fact="0.39"/>
          <dgm:constr type="ctrX" for="ch" forName="quad4" refType="w" fact="0.71"/>
          <dgm:constr type="ctrY" for="ch" forName="quad4" refType="h" fact="0.71"/>
          <dgm:constr type="primFontSz" for="des" ptType="node" op="equ" val="65"/>
        </dgm:constrLst>
      </dgm:if>
      <dgm:else name="Name2">
        <dgm:constrLst>
          <dgm:constr type="w" for="ch" forName="diamond" refType="w"/>
          <dgm:constr type="h" for="ch" forName="diamond" refType="h"/>
          <dgm:constr type="w" for="ch" forName="quad1" refType="w" fact="0.39"/>
          <dgm:constr type="h" for="ch" forName="quad1" refType="h" fact="0.39"/>
          <dgm:constr type="ctrX" for="ch" forName="quad1" refType="w" fact="0.71"/>
          <dgm:constr type="ctrY" for="ch" forName="quad1" refType="h" fact="0.29"/>
          <dgm:constr type="w" for="ch" forName="quad2" refType="w" fact="0.39"/>
          <dgm:constr type="h" for="ch" forName="quad2" refType="h" fact="0.39"/>
          <dgm:constr type="ctrX" for="ch" forName="quad2" refType="w" fact="0.29"/>
          <dgm:constr type="ctrY" for="ch" forName="quad2" refType="h" fact="0.29"/>
          <dgm:constr type="w" for="ch" forName="quad3" refType="w" fact="0.39"/>
          <dgm:constr type="h" for="ch" forName="quad3" refType="h" fact="0.39"/>
          <dgm:constr type="ctrX" for="ch" forName="quad3" refType="w" fact="0.71"/>
          <dgm:constr type="ctrY" for="ch" forName="quad3" refType="h" fact="0.71"/>
          <dgm:constr type="w" for="ch" forName="quad4" refType="w" fact="0.39"/>
          <dgm:constr type="h" for="ch" forName="quad4" refType="h" fact="0.39"/>
          <dgm:constr type="ctrX" for="ch" forName="quad4" refType="w" fact="0.29"/>
          <dgm:constr type="ctrY" for="ch" forName="quad4" refType="h" fact="0.71"/>
          <dgm:constr type="primFontSz" for="des" ptType="node" op="equ" val="65"/>
        </dgm:constrLst>
      </dgm:else>
    </dgm:choose>
    <dgm:ruleLst/>
    <dgm:choose name="Name3">
      <dgm:if name="Name4" axis="ch" ptType="node" func="cnt" op="gte" val="1">
        <dgm:layoutNode name="diamond" styleLbl="bgShp">
          <dgm:alg type="sp"/>
          <dgm:shape xmlns:r="http://schemas.openxmlformats.org/officeDocument/2006/relationships" type="diamond" r:blip="">
            <dgm:adjLst/>
          </dgm:shape>
          <dgm:presOf/>
          <dgm:constrLst>
            <dgm:constr type="w" refType="h" op="equ"/>
          </dgm:constrLst>
          <dgm:ruleLst/>
        </dgm:layoutNode>
        <dgm:layoutNode name="quad1">
          <dgm:varLst>
            <dgm:chMax val="0"/>
            <dgm:chPref val="0"/>
            <dgm:bulletEnabled val="1"/>
          </dgm:varLst>
          <dgm:alg type="tx"/>
          <dgm:shape xmlns:r="http://schemas.openxmlformats.org/officeDocument/2006/relationships" type="roundRect" r:blip="">
            <dgm:adjLst/>
          </dgm:shape>
          <dgm:presOf axis="ch desOrSelf" ptType="node node" st="1 1" cnt="1 0"/>
          <dgm:constrLst>
            <dgm:constr type="w" refType="h" op="equ"/>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quad2">
          <dgm:varLst>
            <dgm:chMax val="0"/>
            <dgm:chPref val="0"/>
            <dgm:bulletEnabled val="1"/>
          </dgm:varLst>
          <dgm:alg type="tx"/>
          <dgm:shape xmlns:r="http://schemas.openxmlformats.org/officeDocument/2006/relationships" type="roundRect" r:blip="">
            <dgm:adjLst/>
          </dgm:shape>
          <dgm:presOf axis="ch desOrSelf" ptType="node node" st="2 1" cnt="1 0"/>
          <dgm:constrLst>
            <dgm:constr type="w" refType="h" op="equ"/>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quad3">
          <dgm:varLst>
            <dgm:chMax val="0"/>
            <dgm:chPref val="0"/>
            <dgm:bulletEnabled val="1"/>
          </dgm:varLst>
          <dgm:alg type="tx"/>
          <dgm:shape xmlns:r="http://schemas.openxmlformats.org/officeDocument/2006/relationships" type="roundRect" r:blip="">
            <dgm:adjLst/>
          </dgm:shape>
          <dgm:presOf axis="ch desOrSelf" ptType="node node" st="3 1" cnt="1 0"/>
          <dgm:constrLst>
            <dgm:constr type="w" refType="h" op="equ"/>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quad4">
          <dgm:varLst>
            <dgm:chMax val="0"/>
            <dgm:chPref val="0"/>
            <dgm:bulletEnabled val="1"/>
          </dgm:varLst>
          <dgm:alg type="tx"/>
          <dgm:shape xmlns:r="http://schemas.openxmlformats.org/officeDocument/2006/relationships" type="roundRect" r:blip="">
            <dgm:adjLst/>
          </dgm:shape>
          <dgm:presOf axis="ch desOrSelf" ptType="node node" st="4 1" cnt="1 0"/>
          <dgm:constrLst>
            <dgm:constr type="w" refType="h" op="equ"/>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D85EE898F53943B13240A4A52DD924" ma:contentTypeVersion="17" ma:contentTypeDescription="Create a new document." ma:contentTypeScope="" ma:versionID="6b3d55978a1a763648e41d62638a7592">
  <xsd:schema xmlns:xsd="http://www.w3.org/2001/XMLSchema" xmlns:xs="http://www.w3.org/2001/XMLSchema" xmlns:p="http://schemas.microsoft.com/office/2006/metadata/properties" xmlns:ns2="5cecb9a7-2a4e-4d28-b0d3-7274a75d5d94" xmlns:ns3="bd36474f-fe8f-4310-88a1-dae32da46523" targetNamespace="http://schemas.microsoft.com/office/2006/metadata/properties" ma:root="true" ma:fieldsID="1cc4f295582e3d0713497d222ab29e8c" ns2:_="" ns3:_="">
    <xsd:import namespace="5cecb9a7-2a4e-4d28-b0d3-7274a75d5d94"/>
    <xsd:import namespace="bd36474f-fe8f-4310-88a1-dae32da4652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ecb9a7-2a4e-4d28-b0d3-7274a75d5d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610763f-2097-46ce-97ba-6f196ea01ea7"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d36474f-fe8f-4310-88a1-dae32da4652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059dfc5-b434-4e32-8e25-7e27bfb5e600}" ma:internalName="TaxCatchAll" ma:showField="CatchAllData" ma:web="bd36474f-fe8f-4310-88a1-dae32da4652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cecb9a7-2a4e-4d28-b0d3-7274a75d5d94">
      <Terms xmlns="http://schemas.microsoft.com/office/infopath/2007/PartnerControls"/>
    </lcf76f155ced4ddcb4097134ff3c332f>
    <TaxCatchAll xmlns="bd36474f-fe8f-4310-88a1-dae32da46523" xsi:nil="true"/>
  </documentManagement>
</p:properties>
</file>

<file path=customXml/itemProps1.xml><?xml version="1.0" encoding="utf-8"?>
<ds:datastoreItem xmlns:ds="http://schemas.openxmlformats.org/officeDocument/2006/customXml" ds:itemID="{3B385FFC-B65C-4CBC-BA0D-C05E5AF68679}"/>
</file>

<file path=customXml/itemProps2.xml><?xml version="1.0" encoding="utf-8"?>
<ds:datastoreItem xmlns:ds="http://schemas.openxmlformats.org/officeDocument/2006/customXml" ds:itemID="{92C644AD-F2E5-4384-88EE-C73288562CFF}"/>
</file>

<file path=customXml/itemProps3.xml><?xml version="1.0" encoding="utf-8"?>
<ds:datastoreItem xmlns:ds="http://schemas.openxmlformats.org/officeDocument/2006/customXml" ds:itemID="{3DB54A9C-A622-4EA5-8A90-47D7E8D94E9B}"/>
</file>

<file path=docProps/app.xml><?xml version="1.0" encoding="utf-8"?>
<Properties xmlns="http://schemas.openxmlformats.org/officeDocument/2006/extended-properties" xmlns:vt="http://schemas.openxmlformats.org/officeDocument/2006/docPropsVTypes">
  <Template>Normal</Template>
  <TotalTime>31</TotalTime>
  <Pages>2</Pages>
  <Words>631</Words>
  <Characters>3600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Sunny Nastase</dc:creator>
  <cp:keywords/>
  <dc:description/>
  <cp:lastModifiedBy>Rileigh Roberson</cp:lastModifiedBy>
  <cp:revision>3</cp:revision>
  <dcterms:created xsi:type="dcterms:W3CDTF">2021-09-10T03:12:00Z</dcterms:created>
  <dcterms:modified xsi:type="dcterms:W3CDTF">2021-09-10T03:27:00Z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0x010100F4D85EE898F53943B13240A4A52DD924</vt:lpwstr>
  </property>
</Properties>
</file>